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A2F" w:rsidRPr="00D84AF5" w:rsidRDefault="002762B5" w:rsidP="00D84AF5">
      <w:pPr>
        <w:pStyle w:val="Title"/>
      </w:pPr>
      <w:bookmarkStart w:id="0" w:name="_zax7is4wj6oa" w:colFirst="0" w:colLast="0"/>
      <w:bookmarkEnd w:id="0"/>
      <w:r w:rsidRPr="00D84AF5">
        <w:t>TEL Guidance: Collaborative Learning</w:t>
      </w:r>
    </w:p>
    <w:p w:rsidR="00471A2F" w:rsidRDefault="00471A2F"/>
    <w:p w:rsidR="00471A2F" w:rsidRDefault="002762B5">
      <w:r>
        <w:t>In considering the use of collaborative learning as a means of facilitating, or augmenting, our more individualistic, non-interdependent model of learning, we should first consider what forms collaborative learning might take in the context of our learning programmes.</w:t>
      </w:r>
    </w:p>
    <w:p w:rsidR="00471A2F" w:rsidRDefault="00471A2F"/>
    <w:p w:rsidR="00471A2F" w:rsidRDefault="002762B5" w:rsidP="00D84AF5">
      <w:pPr>
        <w:pStyle w:val="Heading1"/>
      </w:pPr>
      <w:bookmarkStart w:id="1" w:name="_ze7qhscbvm57" w:colFirst="0" w:colLast="0"/>
      <w:bookmarkEnd w:id="1"/>
      <w:r>
        <w:t>A very brief history of collaborative learning</w:t>
      </w:r>
    </w:p>
    <w:p w:rsidR="00471A2F" w:rsidRDefault="002762B5">
      <w:r>
        <w:t xml:space="preserve">Collaborative learning has a long and well-documented history in education, originating from the Gestalt theory of psychology in the early 1900s. This theory, popularised by Kurt </w:t>
      </w:r>
      <w:proofErr w:type="spellStart"/>
      <w:r>
        <w:t>Koffka’s</w:t>
      </w:r>
      <w:proofErr w:type="spellEnd"/>
      <w:r>
        <w:t xml:space="preserve"> “The whole is something else than the sum of its parts” (mis-translated as “the whole is greater than the sum of its parts”) was developed by Morton Deutsch and Kurt Lewin between the 1940s and 1970s into a Social Interdependence Theory, which demonstrated the advantages of positive interdependence over individualistic methods of learning. From these beginnings, a large body of research and supporting evidence of social interdependence in learning has accumulated; since the late 1800s, “</w:t>
      </w:r>
      <w:r>
        <w:rPr>
          <w:i/>
        </w:rPr>
        <w:t>more than 1,200 studies have been conducted on the relative merits of cooperative, competitive, and individualistic efforts and the conditions under which each is appropriate.</w:t>
      </w:r>
      <w:r>
        <w:t>” (Johnson &amp; Johnson, 2009)</w:t>
      </w:r>
    </w:p>
    <w:p w:rsidR="00471A2F" w:rsidRDefault="00471A2F"/>
    <w:p w:rsidR="00471A2F" w:rsidRDefault="002762B5">
      <w:r>
        <w:t>In a review of the history and accumulated knowledge gained from this wealth of studies into interdependent learning, Johnson &amp; Johnson (2009) compiled a summary of effects, comparing cooperative vs. competitive, cooperative vs. individualistic and competitive vs. individualistic modes of learning.</w:t>
      </w:r>
    </w:p>
    <w:p w:rsidR="009D6935" w:rsidRDefault="009D6935"/>
    <w:p w:rsidR="009D6935" w:rsidRPr="00D84AF5" w:rsidRDefault="009D6935" w:rsidP="00D84AF5">
      <w:pPr>
        <w:pStyle w:val="Heading2"/>
        <w:rPr>
          <w:rFonts w:ascii="Arial" w:eastAsia="Arial" w:hAnsi="Arial" w:cs="Arial"/>
          <w:sz w:val="20"/>
          <w:szCs w:val="20"/>
        </w:rPr>
      </w:pPr>
      <w:r>
        <w:t>Mean Effect Sizes for Impact of Social Interdependence on Dependent Variables</w:t>
      </w:r>
    </w:p>
    <w:p w:rsidR="00471A2F" w:rsidRDefault="00471A2F"/>
    <w:tbl>
      <w:tblPr>
        <w:tblStyle w:val="GridTable2"/>
        <w:tblW w:w="8445" w:type="dxa"/>
        <w:tblLayout w:type="fixed"/>
        <w:tblLook w:val="04A0" w:firstRow="1" w:lastRow="0" w:firstColumn="1" w:lastColumn="0" w:noHBand="0" w:noVBand="1"/>
      </w:tblPr>
      <w:tblGrid>
        <w:gridCol w:w="2355"/>
        <w:gridCol w:w="1890"/>
        <w:gridCol w:w="2010"/>
        <w:gridCol w:w="2190"/>
      </w:tblGrid>
      <w:tr w:rsidR="00471A2F" w:rsidTr="00381426">
        <w:trPr>
          <w:cnfStyle w:val="100000000000" w:firstRow="1" w:lastRow="0" w:firstColumn="0" w:lastColumn="0" w:oddVBand="0" w:evenVBand="0" w:oddHBand="0" w:evenHBand="0" w:firstRowFirstColumn="0" w:firstRowLastColumn="0" w:lastRowFirstColumn="0" w:lastRowLastColumn="0"/>
          <w:trHeight w:val="640"/>
          <w:tblHeader/>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bookmarkStart w:id="2" w:name="_GoBack" w:colFirst="0" w:colLast="3"/>
            <w:r>
              <w:rPr>
                <w:rFonts w:ascii="Calibri" w:eastAsia="Calibri" w:hAnsi="Calibri" w:cs="Calibri"/>
                <w:sz w:val="24"/>
                <w:szCs w:val="24"/>
              </w:rPr>
              <w:t>Dependent Variable</w:t>
            </w:r>
          </w:p>
        </w:tc>
        <w:tc>
          <w:tcPr>
            <w:tcW w:w="1890" w:type="dxa"/>
          </w:tcPr>
          <w:p w:rsidR="00471A2F" w:rsidRDefault="002762B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Cooperative vs. Competitive</w:t>
            </w:r>
          </w:p>
        </w:tc>
        <w:tc>
          <w:tcPr>
            <w:tcW w:w="2010" w:type="dxa"/>
          </w:tcPr>
          <w:p w:rsidR="00471A2F" w:rsidRDefault="002762B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Cooperative vs. Individualistic</w:t>
            </w:r>
          </w:p>
        </w:tc>
        <w:tc>
          <w:tcPr>
            <w:tcW w:w="2190" w:type="dxa"/>
          </w:tcPr>
          <w:p w:rsidR="00471A2F" w:rsidRDefault="002762B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Competitive vs. Individualistic</w:t>
            </w:r>
          </w:p>
        </w:tc>
      </w:tr>
      <w:bookmarkEnd w:id="2"/>
      <w:tr w:rsidR="00471A2F" w:rsidTr="00D84A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Achievement</w:t>
            </w:r>
          </w:p>
        </w:tc>
        <w:tc>
          <w:tcPr>
            <w:tcW w:w="18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0.67</w:t>
            </w:r>
          </w:p>
        </w:tc>
        <w:tc>
          <w:tcPr>
            <w:tcW w:w="201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0.64</w:t>
            </w:r>
          </w:p>
        </w:tc>
        <w:tc>
          <w:tcPr>
            <w:tcW w:w="21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0.3</w:t>
            </w:r>
          </w:p>
        </w:tc>
      </w:tr>
      <w:tr w:rsidR="00471A2F" w:rsidTr="00D84AF5">
        <w:trPr>
          <w:trHeight w:val="64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Interpersonal attraction</w:t>
            </w:r>
          </w:p>
        </w:tc>
        <w:tc>
          <w:tcPr>
            <w:tcW w:w="18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0.67</w:t>
            </w:r>
          </w:p>
        </w:tc>
        <w:tc>
          <w:tcPr>
            <w:tcW w:w="201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w:t>
            </w:r>
          </w:p>
        </w:tc>
        <w:tc>
          <w:tcPr>
            <w:tcW w:w="21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0.08</w:t>
            </w:r>
          </w:p>
        </w:tc>
      </w:tr>
      <w:tr w:rsidR="00471A2F" w:rsidTr="00D84A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Social support</w:t>
            </w:r>
          </w:p>
        </w:tc>
        <w:tc>
          <w:tcPr>
            <w:tcW w:w="18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0.62</w:t>
            </w:r>
          </w:p>
        </w:tc>
        <w:tc>
          <w:tcPr>
            <w:tcW w:w="201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0.7</w:t>
            </w:r>
          </w:p>
        </w:tc>
        <w:tc>
          <w:tcPr>
            <w:tcW w:w="21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-0.13</w:t>
            </w:r>
          </w:p>
        </w:tc>
      </w:tr>
      <w:tr w:rsidR="00471A2F" w:rsidTr="00D84AF5">
        <w:trPr>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Self-esteem</w:t>
            </w:r>
          </w:p>
        </w:tc>
        <w:tc>
          <w:tcPr>
            <w:tcW w:w="18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0.58</w:t>
            </w:r>
          </w:p>
        </w:tc>
        <w:tc>
          <w:tcPr>
            <w:tcW w:w="201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0.44</w:t>
            </w:r>
          </w:p>
        </w:tc>
        <w:tc>
          <w:tcPr>
            <w:tcW w:w="21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-0.23</w:t>
            </w:r>
          </w:p>
        </w:tc>
      </w:tr>
      <w:tr w:rsidR="00471A2F" w:rsidTr="00D84A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Time on task</w:t>
            </w:r>
          </w:p>
        </w:tc>
        <w:tc>
          <w:tcPr>
            <w:tcW w:w="18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0.76</w:t>
            </w:r>
          </w:p>
        </w:tc>
        <w:tc>
          <w:tcPr>
            <w:tcW w:w="201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1.17</w:t>
            </w:r>
          </w:p>
        </w:tc>
        <w:tc>
          <w:tcPr>
            <w:tcW w:w="21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0.64</w:t>
            </w:r>
          </w:p>
        </w:tc>
      </w:tr>
      <w:tr w:rsidR="00471A2F" w:rsidTr="00D84AF5">
        <w:trPr>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Attitudes toward task</w:t>
            </w:r>
          </w:p>
        </w:tc>
        <w:tc>
          <w:tcPr>
            <w:tcW w:w="18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0.57</w:t>
            </w:r>
          </w:p>
        </w:tc>
        <w:tc>
          <w:tcPr>
            <w:tcW w:w="201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0.42</w:t>
            </w:r>
          </w:p>
        </w:tc>
        <w:tc>
          <w:tcPr>
            <w:tcW w:w="21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0.15</w:t>
            </w:r>
          </w:p>
        </w:tc>
      </w:tr>
      <w:tr w:rsidR="00471A2F" w:rsidTr="00D84A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Quality of reasoning</w:t>
            </w:r>
          </w:p>
        </w:tc>
        <w:tc>
          <w:tcPr>
            <w:tcW w:w="18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0.93</w:t>
            </w:r>
          </w:p>
        </w:tc>
        <w:tc>
          <w:tcPr>
            <w:tcW w:w="201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0.97</w:t>
            </w:r>
          </w:p>
        </w:tc>
        <w:tc>
          <w:tcPr>
            <w:tcW w:w="21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0.13</w:t>
            </w:r>
          </w:p>
        </w:tc>
      </w:tr>
      <w:tr w:rsidR="00471A2F" w:rsidTr="00D84AF5">
        <w:trPr>
          <w:trHeight w:val="360"/>
        </w:trPr>
        <w:tc>
          <w:tcPr>
            <w:cnfStyle w:val="001000000000" w:firstRow="0" w:lastRow="0" w:firstColumn="1" w:lastColumn="0" w:oddVBand="0" w:evenVBand="0" w:oddHBand="0" w:evenHBand="0" w:firstRowFirstColumn="0" w:firstRowLastColumn="0" w:lastRowFirstColumn="0" w:lastRowLastColumn="0"/>
            <w:tcW w:w="2355" w:type="dxa"/>
            <w:tcBorders>
              <w:bottom w:val="single" w:sz="4" w:space="0" w:color="auto"/>
            </w:tcBorders>
          </w:tcPr>
          <w:p w:rsidR="00471A2F" w:rsidRDefault="002762B5">
            <w:pPr>
              <w:rPr>
                <w:rFonts w:ascii="Arial" w:eastAsia="Arial" w:hAnsi="Arial" w:cs="Arial"/>
                <w:sz w:val="20"/>
                <w:szCs w:val="20"/>
              </w:rPr>
            </w:pPr>
            <w:r>
              <w:rPr>
                <w:rFonts w:ascii="Calibri" w:eastAsia="Calibri" w:hAnsi="Calibri" w:cs="Calibri"/>
                <w:sz w:val="24"/>
                <w:szCs w:val="24"/>
              </w:rPr>
              <w:t>Perspective taking</w:t>
            </w:r>
          </w:p>
        </w:tc>
        <w:tc>
          <w:tcPr>
            <w:tcW w:w="1890" w:type="dxa"/>
            <w:tcBorders>
              <w:bottom w:val="single" w:sz="4" w:space="0" w:color="auto"/>
            </w:tcBorders>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0.61</w:t>
            </w:r>
          </w:p>
        </w:tc>
        <w:tc>
          <w:tcPr>
            <w:tcW w:w="2010" w:type="dxa"/>
            <w:tcBorders>
              <w:bottom w:val="single" w:sz="4" w:space="0" w:color="auto"/>
            </w:tcBorders>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0.44</w:t>
            </w:r>
          </w:p>
        </w:tc>
        <w:tc>
          <w:tcPr>
            <w:tcW w:w="2190" w:type="dxa"/>
            <w:tcBorders>
              <w:bottom w:val="single" w:sz="4" w:space="0" w:color="auto"/>
            </w:tcBorders>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-0.13</w:t>
            </w:r>
          </w:p>
        </w:tc>
      </w:tr>
      <w:tr w:rsidR="00D84AF5" w:rsidTr="007F3B4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445" w:type="dxa"/>
            <w:gridSpan w:val="4"/>
            <w:tcBorders>
              <w:top w:val="single" w:sz="4" w:space="0" w:color="auto"/>
            </w:tcBorders>
            <w:shd w:val="clear" w:color="auto" w:fill="FFFFFF" w:themeFill="background1"/>
          </w:tcPr>
          <w:p w:rsidR="00D84AF5" w:rsidRDefault="00D84AF5">
            <w:pPr>
              <w:rPr>
                <w:rFonts w:ascii="Arial" w:eastAsia="Arial" w:hAnsi="Arial" w:cs="Arial"/>
                <w:sz w:val="20"/>
                <w:szCs w:val="20"/>
              </w:rPr>
            </w:pPr>
            <w:r>
              <w:rPr>
                <w:rFonts w:ascii="Calibri" w:eastAsia="Calibri" w:hAnsi="Calibri" w:cs="Calibri"/>
                <w:sz w:val="24"/>
                <w:szCs w:val="24"/>
              </w:rPr>
              <w:t>High-quality studies</w:t>
            </w:r>
          </w:p>
        </w:tc>
      </w:tr>
      <w:tr w:rsidR="00471A2F" w:rsidTr="00D84AF5">
        <w:trPr>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Achievement</w:t>
            </w:r>
          </w:p>
        </w:tc>
        <w:tc>
          <w:tcPr>
            <w:tcW w:w="18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0.88</w:t>
            </w:r>
          </w:p>
        </w:tc>
        <w:tc>
          <w:tcPr>
            <w:tcW w:w="201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0.61</w:t>
            </w:r>
          </w:p>
        </w:tc>
        <w:tc>
          <w:tcPr>
            <w:tcW w:w="21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0.07</w:t>
            </w:r>
          </w:p>
        </w:tc>
      </w:tr>
      <w:tr w:rsidR="00471A2F" w:rsidTr="00D84AF5">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lastRenderedPageBreak/>
              <w:t>Interpersonal attraction</w:t>
            </w:r>
          </w:p>
        </w:tc>
        <w:tc>
          <w:tcPr>
            <w:tcW w:w="18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0.82</w:t>
            </w:r>
          </w:p>
        </w:tc>
        <w:tc>
          <w:tcPr>
            <w:tcW w:w="201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0.62</w:t>
            </w:r>
          </w:p>
        </w:tc>
        <w:tc>
          <w:tcPr>
            <w:tcW w:w="21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0.27</w:t>
            </w:r>
          </w:p>
        </w:tc>
      </w:tr>
      <w:tr w:rsidR="00471A2F" w:rsidTr="00D84AF5">
        <w:trPr>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Social support</w:t>
            </w:r>
          </w:p>
        </w:tc>
        <w:tc>
          <w:tcPr>
            <w:tcW w:w="18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0.83</w:t>
            </w:r>
          </w:p>
        </w:tc>
        <w:tc>
          <w:tcPr>
            <w:tcW w:w="201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0.72</w:t>
            </w:r>
          </w:p>
        </w:tc>
        <w:tc>
          <w:tcPr>
            <w:tcW w:w="2190" w:type="dxa"/>
          </w:tcPr>
          <w:p w:rsidR="00471A2F" w:rsidRDefault="002762B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-0.13</w:t>
            </w:r>
          </w:p>
        </w:tc>
      </w:tr>
      <w:tr w:rsidR="00471A2F" w:rsidTr="00D84AF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55" w:type="dxa"/>
          </w:tcPr>
          <w:p w:rsidR="00471A2F" w:rsidRDefault="002762B5">
            <w:pPr>
              <w:rPr>
                <w:rFonts w:ascii="Arial" w:eastAsia="Arial" w:hAnsi="Arial" w:cs="Arial"/>
                <w:sz w:val="20"/>
                <w:szCs w:val="20"/>
              </w:rPr>
            </w:pPr>
            <w:r>
              <w:rPr>
                <w:rFonts w:ascii="Calibri" w:eastAsia="Calibri" w:hAnsi="Calibri" w:cs="Calibri"/>
                <w:sz w:val="24"/>
                <w:szCs w:val="24"/>
              </w:rPr>
              <w:t>Self-esteem</w:t>
            </w:r>
          </w:p>
        </w:tc>
        <w:tc>
          <w:tcPr>
            <w:tcW w:w="18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0.67</w:t>
            </w:r>
          </w:p>
        </w:tc>
        <w:tc>
          <w:tcPr>
            <w:tcW w:w="201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0.45</w:t>
            </w:r>
          </w:p>
        </w:tc>
        <w:tc>
          <w:tcPr>
            <w:tcW w:w="2190" w:type="dxa"/>
          </w:tcPr>
          <w:p w:rsidR="00471A2F" w:rsidRDefault="002762B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Calibri" w:eastAsia="Calibri" w:hAnsi="Calibri" w:cs="Calibri"/>
                <w:sz w:val="24"/>
                <w:szCs w:val="24"/>
              </w:rPr>
              <w:t>-0.25</w:t>
            </w:r>
          </w:p>
        </w:tc>
      </w:tr>
    </w:tbl>
    <w:p w:rsidR="00471A2F" w:rsidRDefault="00471A2F"/>
    <w:p w:rsidR="00471A2F" w:rsidRDefault="002762B5">
      <w:r>
        <w:t>For a distance learning college, the middle column is where our primary interest lies. We can see that the effect size  - the proportion of “</w:t>
      </w:r>
      <w:r>
        <w:rPr>
          <w:i/>
        </w:rPr>
        <w:t>a standard deviation above the average person performing within a competitive … or individualistic ... situation</w:t>
      </w:r>
      <w:r>
        <w:t>” (ibid, p.371) is significant across each of the identified variables.</w:t>
      </w:r>
    </w:p>
    <w:p w:rsidR="00471A2F" w:rsidRDefault="00471A2F"/>
    <w:p w:rsidR="00471A2F" w:rsidRDefault="002762B5">
      <w:pPr>
        <w:pStyle w:val="Heading1"/>
      </w:pPr>
      <w:bookmarkStart w:id="3" w:name="_k3c1z2wb8qf6" w:colFirst="0" w:colLast="0"/>
      <w:bookmarkEnd w:id="3"/>
      <w:r>
        <w:t>Cognitive considerations</w:t>
      </w:r>
    </w:p>
    <w:p w:rsidR="00471A2F" w:rsidRDefault="002762B5">
      <w:r>
        <w:t>When we consider the optimum means of providing an education at a distance, we must consider the audience attracted by such a means of education. Just over 20% of On Programme OCA students declared some kind of disability between 2017 and 2019, with 13% of those being some form of cognitive or learning impairment. Such students tend to have a lower cognitive capacity in their working (short term) memory, and are benefited by provision of learning informed by Cognitive Load Theory; e.g. Richard Mayer’s Cognitive Theory of Multimedia Learning (CTML), which aims to reduce cognitive load through optimisation of learning delivered through multimedia channels.</w:t>
      </w:r>
    </w:p>
    <w:p w:rsidR="00471A2F" w:rsidRDefault="00471A2F"/>
    <w:p w:rsidR="00471A2F" w:rsidRDefault="002762B5">
      <w:r>
        <w:t xml:space="preserve">Mayer’s CTML only addresses the primary courseware, which does not help the student who is struggling to construct an essay, or interpret the brief of an assignment or project. Neither does such an approach (though of course beneficial) assist the student from a social perspective; it simply aims to ensure that information is optimised for processing and subsequent absorption into longer-term memory for later reference or development by the student. Collaborative forms of learning, in which a group works together towards the resolution of a task or problem, or cooperative learning, where a group allocates tasks according to a perceived suitability to the role, are considered to aid in the reduction of cognitive load for individuals within the group. This speaks to the idiom, “a problem shared is a problem halved”. In practice, the veracity of the claim is at best nuanced, as one must consider the varied abilities and situations which comprise the group. An </w:t>
      </w:r>
      <w:proofErr w:type="spellStart"/>
      <w:r>
        <w:t>apposite</w:t>
      </w:r>
      <w:proofErr w:type="spellEnd"/>
      <w:r>
        <w:t xml:space="preserve"> example is offered by Janssen, Kirschner, </w:t>
      </w:r>
      <w:proofErr w:type="spellStart"/>
      <w:r>
        <w:t>Erkens</w:t>
      </w:r>
      <w:proofErr w:type="spellEnd"/>
      <w:r>
        <w:t xml:space="preserve">, Kirschner &amp; </w:t>
      </w:r>
      <w:proofErr w:type="spellStart"/>
      <w:r>
        <w:t>Paas</w:t>
      </w:r>
      <w:proofErr w:type="spellEnd"/>
      <w:r>
        <w:t xml:space="preserve"> (2010): </w:t>
      </w:r>
    </w:p>
    <w:p w:rsidR="00471A2F" w:rsidRDefault="00471A2F">
      <w:pPr>
        <w:rPr>
          <w:rFonts w:ascii="Georgia" w:eastAsia="Georgia" w:hAnsi="Georgia" w:cs="Georgia"/>
          <w:color w:val="333333"/>
          <w:sz w:val="26"/>
          <w:szCs w:val="26"/>
          <w:shd w:val="clear" w:color="auto" w:fill="FCFCFC"/>
        </w:rPr>
      </w:pPr>
    </w:p>
    <w:p w:rsidR="00471A2F" w:rsidRDefault="002762B5">
      <w:pPr>
        <w:ind w:left="720"/>
      </w:pPr>
      <w:r>
        <w:t>“</w:t>
      </w:r>
      <w:r>
        <w:rPr>
          <w:i/>
        </w:rPr>
        <w:t xml:space="preserve">When a medium-ability student, for example, tries to explain his or her reasoning to a high-ability student, this may induce germane load on the part of the medium-ability student because the elaboration and reorganization of cognitive schemas stimulated by the explanation are beneficial to his/her learning process (Webb </w:t>
      </w:r>
      <w:hyperlink r:id="rId6" w:anchor="CR97">
        <w:r>
          <w:rPr>
            <w:i/>
            <w:color w:val="1155CC"/>
            <w:u w:val="single"/>
          </w:rPr>
          <w:t>1991</w:t>
        </w:r>
      </w:hyperlink>
      <w:r>
        <w:rPr>
          <w:i/>
        </w:rPr>
        <w:t xml:space="preserve">). Simultaneously, this explanation may induce extraneous cognitive load for the high-ability student, because this student is already aware of this information (i.e., it is redundant; see Mayer et al. </w:t>
      </w:r>
      <w:hyperlink r:id="rId7" w:anchor="CR47">
        <w:r>
          <w:rPr>
            <w:i/>
            <w:color w:val="1155CC"/>
            <w:u w:val="single"/>
          </w:rPr>
          <w:t>2001</w:t>
        </w:r>
      </w:hyperlink>
      <w:r>
        <w:rPr>
          <w:i/>
        </w:rPr>
        <w:t>).</w:t>
      </w:r>
      <w:r>
        <w:t xml:space="preserve">” </w:t>
      </w:r>
      <w:r>
        <w:lastRenderedPageBreak/>
        <w:t xml:space="preserve">Janssen, Kirschner, </w:t>
      </w:r>
      <w:proofErr w:type="spellStart"/>
      <w:r>
        <w:t>Erkens</w:t>
      </w:r>
      <w:proofErr w:type="spellEnd"/>
      <w:r>
        <w:t xml:space="preserve">, Kirschner &amp; </w:t>
      </w:r>
      <w:proofErr w:type="spellStart"/>
      <w:r>
        <w:t>Paas</w:t>
      </w:r>
      <w:proofErr w:type="spellEnd"/>
      <w:r>
        <w:t xml:space="preserve"> (2010)</w:t>
      </w:r>
    </w:p>
    <w:p w:rsidR="00471A2F" w:rsidRDefault="00471A2F">
      <w:pPr>
        <w:ind w:left="720"/>
      </w:pPr>
    </w:p>
    <w:p w:rsidR="00471A2F" w:rsidRDefault="002762B5">
      <w:r>
        <w:t>It should be assumed that the benefits proposed by collaborative learning are therefore unlikely to apply equally to each constituent of the group. The provided example might also be reversed, that a high-ability student may through their contributions be given to the use of terminology and assumed knowledge with which less-able members of the group are familiar, raising the prospect of increasing cognitive load beyond a preferred optimum, or reducing the less-experienced student’s confidence to contribute . This is a particularly likely situation for a college such as OCA, which attracts students from a range of demographics and social backgrounds. A college leaver may well find themselves in a group with a medical doctor and a professor of Economics, which although potentially intriguing in terms of the perspectives being brought, will be fraught with potential for cognitive load ‘imbalances’ across the group.</w:t>
      </w:r>
    </w:p>
    <w:p w:rsidR="00471A2F" w:rsidRDefault="00471A2F"/>
    <w:p w:rsidR="00471A2F" w:rsidRDefault="002762B5">
      <w:pPr>
        <w:pStyle w:val="Heading2"/>
      </w:pPr>
      <w:bookmarkStart w:id="4" w:name="_5tqrlfdmr5w1" w:colFirst="0" w:colLast="0"/>
      <w:bookmarkEnd w:id="4"/>
      <w:r>
        <w:t>Addressing group imbalances</w:t>
      </w:r>
    </w:p>
    <w:p w:rsidR="00471A2F" w:rsidRDefault="002762B5">
      <w:r>
        <w:t>In any form of group learning, there are likely to be a range of personas. These might include a ‘dominant’ persona, as well as a more ‘observational’ persona. In the absence of structure or an initial direction, the less dominant individuals are likely to be pushed out and marginalised, leaving only the views of the dominant personalities to push forward. Such dominant personalities might also cause disruption through ‘power struggles’, pushing less dominant individuals further to the periphery. In a 2008 study into ‘Examining the dynamics of networked e-learning groups and communities’, it was observed that:</w:t>
      </w:r>
    </w:p>
    <w:p w:rsidR="00471A2F" w:rsidRDefault="00471A2F"/>
    <w:p w:rsidR="00471A2F" w:rsidRDefault="002762B5">
      <w:pPr>
        <w:ind w:left="720"/>
      </w:pPr>
      <w:r>
        <w:t>Some individuals took very strong views on issues and were not willing to negotiate around them. There was disagreement amongst individual members, sometimes extreme. There were differences in perceived levels of previous experience and expertise, leading to perceptions that some members were better equipped than others to fulfil certain tasks, or had greater experience and knowledge.  (McConnell, 2008)</w:t>
      </w:r>
      <w:r>
        <w:rPr>
          <w:vertAlign w:val="superscript"/>
        </w:rPr>
        <w:footnoteReference w:id="1"/>
      </w:r>
    </w:p>
    <w:p w:rsidR="00471A2F" w:rsidRDefault="00471A2F"/>
    <w:p w:rsidR="00471A2F" w:rsidRDefault="002762B5">
      <w:r>
        <w:t>Such issues are already observable on the college’s Discuss forum, which could be considered a good case study of unmediated and unstructured academic discourse; something to be avoided.</w:t>
      </w:r>
    </w:p>
    <w:p w:rsidR="00471A2F" w:rsidRDefault="00471A2F"/>
    <w:p w:rsidR="00471A2F" w:rsidRDefault="002762B5">
      <w:r>
        <w:t>Establishing a format</w:t>
      </w:r>
    </w:p>
    <w:p w:rsidR="00471A2F" w:rsidRDefault="002762B5">
      <w:r>
        <w:t>For any group session, a set of guidelines should be provided at the outset, suggesting an agenda for the initial meeting as well as how to deal with potential issues which may arise such as non-attendance by some members of the group.</w:t>
      </w:r>
    </w:p>
    <w:p w:rsidR="00471A2F" w:rsidRDefault="00471A2F"/>
    <w:p w:rsidR="00471A2F" w:rsidRDefault="00471A2F"/>
    <w:sectPr w:rsidR="00471A2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F4E" w:rsidRDefault="00127F4E">
      <w:pPr>
        <w:spacing w:line="240" w:lineRule="auto"/>
      </w:pPr>
      <w:r>
        <w:separator/>
      </w:r>
    </w:p>
  </w:endnote>
  <w:endnote w:type="continuationSeparator" w:id="0">
    <w:p w:rsidR="00127F4E" w:rsidRDefault="00127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Sans">
    <w:panose1 w:val="020B0503020203020204"/>
    <w:charset w:val="4D"/>
    <w:family w:val="swiss"/>
    <w:pitch w:val="variable"/>
    <w:sig w:usb0="A00002EF" w:usb1="5000204B" w:usb2="00000000" w:usb3="00000000" w:csb0="00000097"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F4E" w:rsidRDefault="00127F4E">
      <w:pPr>
        <w:spacing w:line="240" w:lineRule="auto"/>
      </w:pPr>
      <w:r>
        <w:separator/>
      </w:r>
    </w:p>
  </w:footnote>
  <w:footnote w:type="continuationSeparator" w:id="0">
    <w:p w:rsidR="00127F4E" w:rsidRDefault="00127F4E">
      <w:pPr>
        <w:spacing w:line="240" w:lineRule="auto"/>
      </w:pPr>
      <w:r>
        <w:continuationSeparator/>
      </w:r>
    </w:p>
  </w:footnote>
  <w:footnote w:id="1">
    <w:p w:rsidR="00471A2F" w:rsidRDefault="002762B5">
      <w:pPr>
        <w:rPr>
          <w:sz w:val="20"/>
          <w:szCs w:val="20"/>
        </w:rPr>
      </w:pPr>
      <w:r>
        <w:rPr>
          <w:vertAlign w:val="superscript"/>
        </w:rPr>
        <w:footnoteRef/>
      </w:r>
      <w:r>
        <w:t xml:space="preserve"> McConnell, D. (2008) 'Examining the dynamics of networked e-learning groups and communities’' In: Studies in Higher Education 02.05 [online] At: http://web.a.ebscohost.com/ehost/detail/detail?vid=0&amp;sid=09f2f37f-929e-4442-87b3-90e7ed2a9ed2%40sessionmgr4008&amp;bdata=JnNpdGU9ZWhvc3QtbGl2ZQ%3d%3d#db=ehh&amp;AN=15545191 (Accessed on 31.07.09)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A2F"/>
    <w:rsid w:val="00127F4E"/>
    <w:rsid w:val="002762B5"/>
    <w:rsid w:val="00381426"/>
    <w:rsid w:val="00471A2F"/>
    <w:rsid w:val="004F768A"/>
    <w:rsid w:val="009D6935"/>
    <w:rsid w:val="00D8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BB66DF"/>
  <w15:docId w15:val="{4014281B-6BDB-8545-8DA9-579E7C49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T Sans" w:eastAsia="PT Sans" w:hAnsi="PT Sans" w:cs="PT Sans"/>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unhideWhenUsed/>
    <w:qFormat/>
    <w:pPr>
      <w:keepNext/>
      <w:keepLines/>
      <w:spacing w:before="200"/>
      <w:outlineLvl w:val="1"/>
    </w:pPr>
    <w:rPr>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GridTable1Light">
    <w:name w:val="Grid Table 1 Light"/>
    <w:basedOn w:val="TableNormal"/>
    <w:uiPriority w:val="46"/>
    <w:rsid w:val="00D84AF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D84AF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pringer.com/article/10.1007/s10648-010-9131-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10648-010-9131-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2019-08-23T13:26:00Z</dcterms:created>
  <dcterms:modified xsi:type="dcterms:W3CDTF">2019-08-23T13:27:00Z</dcterms:modified>
</cp:coreProperties>
</file>